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36FE4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石河子大学</w:t>
      </w:r>
      <w:r>
        <w:rPr>
          <w:rFonts w:eastAsia="华文中宋"/>
          <w:b/>
          <w:sz w:val="32"/>
          <w:szCs w:val="32"/>
        </w:rPr>
        <w:t>202</w:t>
      </w:r>
      <w:r>
        <w:rPr>
          <w:rFonts w:hint="eastAsia" w:eastAsia="华文中宋"/>
          <w:b/>
          <w:sz w:val="32"/>
          <w:szCs w:val="32"/>
          <w:lang w:val="en-US" w:eastAsia="zh-CN"/>
        </w:rPr>
        <w:t>6</w:t>
      </w:r>
      <w:r>
        <w:rPr>
          <w:rFonts w:hAnsi="华文中宋" w:eastAsia="华文中宋"/>
          <w:b/>
          <w:sz w:val="32"/>
          <w:szCs w:val="32"/>
        </w:rPr>
        <w:t>年攻读硕士学位研究生入学考试</w:t>
      </w:r>
    </w:p>
    <w:p w14:paraId="4F92723E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《</w:t>
      </w:r>
      <w:r>
        <w:rPr>
          <w:rFonts w:hint="eastAsia" w:hAnsi="华文中宋" w:eastAsia="华文中宋"/>
          <w:b/>
          <w:sz w:val="32"/>
          <w:szCs w:val="32"/>
          <w:lang w:val="en-US" w:eastAsia="zh-CN"/>
        </w:rPr>
        <w:t>音乐作品分析</w:t>
      </w:r>
      <w:r>
        <w:rPr>
          <w:rFonts w:hAnsi="华文中宋" w:eastAsia="华文中宋"/>
          <w:b/>
          <w:sz w:val="32"/>
          <w:szCs w:val="32"/>
        </w:rPr>
        <w:t>》</w:t>
      </w:r>
      <w:r>
        <w:rPr>
          <w:rFonts w:hint="eastAsia" w:hAnsi="华文中宋" w:eastAsia="华文中宋"/>
          <w:b/>
          <w:sz w:val="32"/>
          <w:szCs w:val="32"/>
          <w:lang w:val="en-US" w:eastAsia="zh-CN"/>
        </w:rPr>
        <w:t>816</w:t>
      </w:r>
      <w:r>
        <w:rPr>
          <w:rFonts w:hAnsi="华文中宋" w:eastAsia="华文中宋"/>
          <w:b/>
          <w:sz w:val="32"/>
          <w:szCs w:val="32"/>
        </w:rPr>
        <w:t>考试大纲</w:t>
      </w:r>
    </w:p>
    <w:p w14:paraId="0B4C8CA1">
      <w:pPr>
        <w:spacing w:line="360" w:lineRule="auto"/>
        <w:jc w:val="center"/>
        <w:rPr>
          <w:rFonts w:ascii="宋体" w:hAnsi="宋体" w:cs="宋体"/>
          <w:b/>
          <w:sz w:val="30"/>
        </w:rPr>
      </w:pPr>
    </w:p>
    <w:p w14:paraId="015B3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艺术硕士研究生入学考试《</w:t>
      </w:r>
      <w:r>
        <w:rPr>
          <w:rFonts w:hint="eastAsia" w:ascii="宋体" w:hAnsi="宋体" w:cs="宋体"/>
          <w:sz w:val="24"/>
          <w:lang w:val="en-US" w:eastAsia="zh-CN"/>
        </w:rPr>
        <w:t>音乐</w:t>
      </w:r>
      <w:r>
        <w:rPr>
          <w:rFonts w:hint="eastAsia" w:ascii="宋体" w:hAnsi="宋体" w:cs="宋体"/>
          <w:sz w:val="24"/>
        </w:rPr>
        <w:t>作品分析》科目要求考生对音乐作品分析基本理论、基本知识、基本内容有一个全面的理解与掌握，并能综合运用该学科理论知识分析各种曲式结构现象。主要考察应试者对作品分析知识点的把握能力、理解能力以及系统分析音乐作品的能力。</w:t>
      </w:r>
    </w:p>
    <w:p w14:paraId="7E18F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一、考试内容 </w:t>
      </w:r>
    </w:p>
    <w:p w14:paraId="7EA4B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.和声分析部分</w:t>
      </w:r>
    </w:p>
    <w:p w14:paraId="44DF9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分析指定段落或完整作品的和声，要求准确标记调性、和弦</w:t>
      </w:r>
      <w:r>
        <w:rPr>
          <w:rFonts w:hint="default" w:ascii="宋体" w:hAnsi="宋体" w:cs="宋体"/>
          <w:sz w:val="24"/>
          <w:lang w:val="en-US"/>
        </w:rPr>
        <w:t>、</w:t>
      </w:r>
      <w:r>
        <w:rPr>
          <w:rFonts w:hint="eastAsia" w:ascii="宋体" w:hAnsi="宋体" w:cs="宋体"/>
          <w:sz w:val="24"/>
        </w:rPr>
        <w:t>有转调需标明转调过程。以下内容均在考核目标范围之内。</w:t>
      </w:r>
    </w:p>
    <w:p w14:paraId="773A7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（1）正三和弦</w:t>
      </w:r>
    </w:p>
    <w:p w14:paraId="0F89D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（2）终止四六和弦</w:t>
      </w:r>
    </w:p>
    <w:p w14:paraId="7559F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（3）正三和弦的六和弦</w:t>
      </w:r>
    </w:p>
    <w:p w14:paraId="1E975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（4）经过的与辅助的四六和弦</w:t>
      </w:r>
    </w:p>
    <w:p w14:paraId="7B32F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（5）副三和弦</w:t>
      </w:r>
    </w:p>
    <w:p w14:paraId="12191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（6）属七和弦</w:t>
      </w:r>
    </w:p>
    <w:p w14:paraId="5235D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（7）导七和弦</w:t>
      </w:r>
    </w:p>
    <w:p w14:paraId="330DF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（8）副七和弦</w:t>
      </w:r>
    </w:p>
    <w:p w14:paraId="44551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（9）属九和弦</w:t>
      </w:r>
    </w:p>
    <w:p w14:paraId="69C42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（10）重属和弦</w:t>
      </w:r>
    </w:p>
    <w:p w14:paraId="5B052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（11）重属七和弦</w:t>
      </w:r>
    </w:p>
    <w:p w14:paraId="605D2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（12）重属导七和弦</w:t>
      </w:r>
    </w:p>
    <w:p w14:paraId="6C35C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（13）变和弦</w:t>
      </w:r>
    </w:p>
    <w:p w14:paraId="52021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（14）增六和弦</w:t>
      </w:r>
    </w:p>
    <w:p w14:paraId="192B8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（15）离调、半音体系</w:t>
      </w:r>
    </w:p>
    <w:p w14:paraId="3AD32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（16）一级关系调的转调</w:t>
      </w:r>
    </w:p>
    <w:p w14:paraId="045FD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</w:rPr>
      </w:pPr>
    </w:p>
    <w:p w14:paraId="1A017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.曲式分析部分</w:t>
      </w:r>
    </w:p>
    <w:p w14:paraId="44604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分析指定音乐作品，要求画出图示结构，并予以文字详细说明。以下内容均在考核目标范围之内。</w:t>
      </w:r>
    </w:p>
    <w:p w14:paraId="7E52C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（1）乐段与一部曲式</w:t>
      </w:r>
    </w:p>
    <w:p w14:paraId="7CD9F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（2）单二部曲式</w:t>
      </w:r>
    </w:p>
    <w:p w14:paraId="64DF2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（3）单三部曲式</w:t>
      </w:r>
    </w:p>
    <w:p w14:paraId="1EDA8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（4）复三部曲式</w:t>
      </w:r>
    </w:p>
    <w:p w14:paraId="4D9B4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（5）回旋曲式</w:t>
      </w:r>
    </w:p>
    <w:p w14:paraId="4B059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（6）变奏曲式</w:t>
      </w:r>
    </w:p>
    <w:p w14:paraId="6BF7A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（7）奏鸣曲式</w:t>
      </w:r>
    </w:p>
    <w:p w14:paraId="1B191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（8）回旋奏鸣曲式</w:t>
      </w:r>
    </w:p>
    <w:p w14:paraId="3EA0C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二、试卷结构：</w:t>
      </w:r>
    </w:p>
    <w:p w14:paraId="05BAC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1.试卷满分：150分</w:t>
      </w:r>
    </w:p>
    <w:p w14:paraId="1E699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2.考试时间：180分钟</w:t>
      </w:r>
    </w:p>
    <w:p w14:paraId="16E18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3.试卷内容结构：</w:t>
      </w:r>
    </w:p>
    <w:p w14:paraId="1F2F8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  <w:highlight w:val="yellow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和声分析题、曲式分析题；</w:t>
      </w:r>
    </w:p>
    <w:p w14:paraId="09817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4.题型结构</w:t>
      </w:r>
    </w:p>
    <w:p w14:paraId="3934E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color w:val="000000"/>
          <w:sz w:val="24"/>
        </w:rPr>
      </w:pPr>
      <w:bookmarkStart w:id="0" w:name="_Hlk20483592"/>
      <w:r>
        <w:rPr>
          <w:rFonts w:hint="eastAsia" w:ascii="宋体" w:hAnsi="宋体" w:cs="宋体"/>
          <w:b w:val="0"/>
          <w:bCs/>
          <w:color w:val="000000"/>
          <w:sz w:val="24"/>
        </w:rPr>
        <w:t>和声分析题</w:t>
      </w:r>
      <w:bookmarkEnd w:id="0"/>
      <w:r>
        <w:rPr>
          <w:rFonts w:hint="default" w:ascii="宋体" w:hAnsi="宋体" w:cs="宋体"/>
          <w:b w:val="0"/>
          <w:bCs/>
          <w:color w:val="000000"/>
          <w:sz w:val="24"/>
          <w:lang w:val="en-US"/>
        </w:rPr>
        <w:t>4</w:t>
      </w:r>
      <w:r>
        <w:rPr>
          <w:rFonts w:ascii="宋体" w:hAnsi="宋体" w:cs="宋体"/>
          <w:b w:val="0"/>
          <w:bCs/>
          <w:color w:val="000000"/>
          <w:sz w:val="24"/>
        </w:rPr>
        <w:t>0</w:t>
      </w:r>
      <w:r>
        <w:rPr>
          <w:rFonts w:hint="eastAsia" w:ascii="宋体" w:hAnsi="宋体" w:cs="宋体"/>
          <w:b w:val="0"/>
          <w:bCs/>
          <w:color w:val="000000"/>
          <w:sz w:val="24"/>
        </w:rPr>
        <w:t>分，曲式分析题</w:t>
      </w:r>
      <w:r>
        <w:rPr>
          <w:rFonts w:ascii="宋体" w:hAnsi="宋体" w:cs="宋体"/>
          <w:b w:val="0"/>
          <w:bCs/>
          <w:color w:val="000000"/>
          <w:sz w:val="24"/>
        </w:rPr>
        <w:t>1</w:t>
      </w:r>
      <w:r>
        <w:rPr>
          <w:rFonts w:ascii="宋体" w:hAnsi="宋体" w:cs="宋体"/>
          <w:b w:val="0"/>
          <w:bCs/>
          <w:color w:val="000000"/>
          <w:sz w:val="24"/>
          <w:lang w:val="en-US"/>
        </w:rPr>
        <w:t>1</w:t>
      </w:r>
      <w:r>
        <w:rPr>
          <w:rFonts w:ascii="宋体" w:hAnsi="宋体" w:cs="宋体"/>
          <w:b w:val="0"/>
          <w:bCs/>
          <w:color w:val="000000"/>
          <w:sz w:val="24"/>
        </w:rPr>
        <w:t>0</w:t>
      </w:r>
      <w:r>
        <w:rPr>
          <w:rFonts w:hint="eastAsia" w:ascii="宋体" w:hAnsi="宋体" w:cs="宋体"/>
          <w:b w:val="0"/>
          <w:bCs/>
          <w:color w:val="000000"/>
          <w:sz w:val="24"/>
        </w:rPr>
        <w:t>分</w:t>
      </w:r>
      <w:bookmarkStart w:id="1" w:name="_GoBack"/>
      <w:bookmarkEnd w:id="1"/>
      <w:r>
        <w:rPr>
          <w:rFonts w:hint="eastAsia" w:ascii="宋体" w:hAnsi="宋体" w:cs="宋体"/>
          <w:b w:val="0"/>
          <w:bCs/>
          <w:color w:val="000000"/>
          <w:sz w:val="24"/>
        </w:rPr>
        <w:t>；</w:t>
      </w:r>
    </w:p>
    <w:p w14:paraId="7C6B2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三、主要参考教材（参考书目）</w:t>
      </w:r>
    </w:p>
    <w:p w14:paraId="56E3B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（1）《基本乐理》（第7版），贾方爵编著，西南师范大学出版社，2017年。</w:t>
      </w:r>
    </w:p>
    <w:p w14:paraId="4793F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）《曲式与作品分析基础》，高为杰，吴春福编著，人民音乐出版社，上海音乐出版社，2011年。</w:t>
      </w:r>
    </w:p>
    <w:p w14:paraId="0A778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）《和声分析351例》，吴式锴编著，世界图书出版社，2000年。</w:t>
      </w:r>
    </w:p>
    <w:p w14:paraId="3012BEEA">
      <w:pPr>
        <w:spacing w:line="360" w:lineRule="auto"/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000000"/>
    <w:rsid w:val="139148C5"/>
    <w:rsid w:val="27512D4F"/>
    <w:rsid w:val="2A952768"/>
    <w:rsid w:val="6E9E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="Calibri" w:hAnsi="Calibr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石河子大学</Company>
  <Pages>2</Pages>
  <Words>654</Words>
  <Characters>690</Characters>
  <Paragraphs>48</Paragraphs>
  <TotalTime>18</TotalTime>
  <ScaleCrop>false</ScaleCrop>
  <LinksUpToDate>false</LinksUpToDate>
  <CharactersWithSpaces>691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2020-09-22T02:46:00Z</dcterms:created>
  <dc:creator>李钦曾</dc:creator>
  <cp:lastModifiedBy>红星星</cp:lastModifiedBy>
  <dcterms:modified xsi:type="dcterms:W3CDTF">2025-10-10T08:38:21Z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652F96E11FAC473EA17248FF3B4197BD_12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